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Информация «О работе с обращениями граждан</w:t>
        <w:br/>
        <w:t>в местной администрации внутригородского муниципального</w:t>
        <w:br/>
        <w:t>образования города Севастополя Качинский муниципальный округ за</w:t>
        <w:br/>
        <w:t>первое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полугодие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2022 года»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Настоящая информация отображает статистические данные о количестве обращении, вопросов, изложенных в обращениях российских и иностранных граждан, лиц без гражданства, объединении граждан, в том числе юридических лиц (далее - обращения граждан), рассмотренных местной администрацией.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Обзор обращений граждан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за период с 01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января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2022 г.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п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 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0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июня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2022 г.</w:t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84"/>
      </w:tblGrid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 По форме поступления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1.1.Почтой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1.2. Через Интернет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82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1.3. На личном приеме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96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 По видам обращений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2.1. Предложение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13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2.2. Заявление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143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2.3. Жалоба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15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2.4. Ходатайство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8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 По субъекту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3.1. Индивидуальные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168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3.2. Коллективные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3.3. Анонимные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4.По результату рассмотрения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4.1 Даны ответы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76</w:t>
            </w:r>
          </w:p>
        </w:tc>
      </w:tr>
      <w:tr>
        <w:trPr>
          <w:trHeight w:val="763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4.2 Направлены по принадлежности с уведомлением граждан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89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4.3. Даны устные разъяснения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14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4.4. Оставлено без ответа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51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179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Style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Тематичекая структура поступивших обращений: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7"/>
      </w:tblGrid>
      <w:tr>
        <w:trPr>
          <w:trHeight w:val="66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Количество обращений</w:t>
            </w:r>
          </w:p>
        </w:tc>
      </w:tr>
      <w:tr>
        <w:trPr>
          <w:trHeight w:val="225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Освещение, водоснабжение, канализирование, газификация, строительство, ремонт и обслуживание автомобильных дорог, обеспечение безопасности дорожного движения, транспортное обслуживание населения округа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52</w:t>
            </w:r>
          </w:p>
        </w:tc>
      </w:tr>
      <w:tr>
        <w:trPr>
          <w:trHeight w:val="984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Земельные вопросы, земельные споры, градостроительство, запросы информации и документов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15</w:t>
            </w:r>
          </w:p>
        </w:tc>
      </w:tr>
      <w:tr>
        <w:trPr>
          <w:trHeight w:val="129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Социальное обеспечение, образование, культура, физкультура и спорт, здравоохранение, труд и занятость населения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</w:t>
            </w:r>
          </w:p>
        </w:tc>
      </w:tr>
      <w:tr>
        <w:trPr>
          <w:trHeight w:val="162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Содержание и ремонт квартир и общедомового имущества, в т.ч. капитальный ремонт; работа управляющих компаний, улучшение жилищных условий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129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благоустройство населенных пунктов округа, ликвидация</w:t>
            </w:r>
          </w:p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несанкционированных свалок, уборка мусора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41</w:t>
            </w:r>
          </w:p>
        </w:tc>
      </w:tr>
      <w:tr>
        <w:trPr>
          <w:trHeight w:val="34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Прочие 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56</w:t>
            </w:r>
          </w:p>
        </w:tc>
      </w:tr>
    </w:tbl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Все обращения, поступившие в местную администрацию Качинского муниципального округа рассмотрены в сроки, установленные в соответствии со статьей 8 Федерального Закона от 02.05.2016 №59-ФЗ «О порядке рассмотрения обращении граждан Российской Федерации».</w:t>
      </w:r>
    </w:p>
    <w:sectPr>
      <w:type w:val="nextPage"/>
      <w:pgSz w:w="11906" w:h="16838"/>
      <w:pgMar w:left="1618" w:right="681" w:gutter="0" w:header="0" w:top="1110" w:footer="0" w:bottom="264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>
    <w:name w:val="Друго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>
    <w:name w:val="Подпись к таблице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Другое"/>
    <w:basedOn w:val="Normal"/>
    <w:qFormat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3">
    <w:name w:val="Подпись к таблице"/>
    <w:basedOn w:val="Normal"/>
    <w:qFormat/>
    <w:pPr>
      <w:widowControl w:val="false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LibreOffice/7.3.3.2$Windows_X86_64 LibreOffice_project/d1d0ea68f081ee2800a922cac8f79445e4603348</Application>
  <AppVersion>15.0000</AppVersion>
  <Pages>2</Pages>
  <Words>250</Words>
  <Characters>1726</Characters>
  <CharactersWithSpaces>1921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</dc:creator>
  <dc:description/>
  <dc:language>ru-RU</dc:language>
  <cp:lastModifiedBy/>
  <cp:lastPrinted>2022-07-04T10:50:43Z</cp:lastPrinted>
  <dcterms:modified xsi:type="dcterms:W3CDTF">2022-07-05T16:26:28Z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